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142F" w14:textId="77777777" w:rsidR="006B324F" w:rsidRDefault="006B324F" w:rsidP="006B324F">
      <w:pPr>
        <w:spacing w:line="360" w:lineRule="auto"/>
        <w:ind w:firstLine="709"/>
        <w:jc w:val="both"/>
        <w:rPr>
          <w:rFonts w:cs="Times New Roman"/>
        </w:rPr>
      </w:pPr>
      <w:r>
        <w:rPr>
          <w:rFonts w:cs="Times New Roman"/>
        </w:rPr>
        <w:t>Степанец Светлана Германовна, преподаватель художественного отделения.</w:t>
      </w:r>
    </w:p>
    <w:p w14:paraId="79B80E16" w14:textId="77777777" w:rsidR="006B324F" w:rsidRDefault="006B324F" w:rsidP="006B324F">
      <w:pPr>
        <w:spacing w:line="360" w:lineRule="auto"/>
        <w:ind w:firstLine="709"/>
        <w:jc w:val="both"/>
        <w:rPr>
          <w:rFonts w:cs="Times New Roman"/>
        </w:rPr>
      </w:pPr>
      <w:r>
        <w:rPr>
          <w:rFonts w:cs="Times New Roman"/>
        </w:rPr>
        <w:t xml:space="preserve">МБОУ ДОД «Детская школа искусств г. </w:t>
      </w:r>
      <w:proofErr w:type="spellStart"/>
      <w:r>
        <w:rPr>
          <w:rFonts w:cs="Times New Roman"/>
        </w:rPr>
        <w:t>Нарьян</w:t>
      </w:r>
      <w:proofErr w:type="spellEnd"/>
      <w:r>
        <w:rPr>
          <w:rFonts w:cs="Times New Roman"/>
        </w:rPr>
        <w:t>–</w:t>
      </w:r>
      <w:proofErr w:type="spellStart"/>
      <w:r>
        <w:rPr>
          <w:rFonts w:cs="Times New Roman"/>
        </w:rPr>
        <w:t>Мара</w:t>
      </w:r>
      <w:proofErr w:type="spellEnd"/>
      <w:r>
        <w:rPr>
          <w:rFonts w:cs="Times New Roman"/>
        </w:rPr>
        <w:t>». Тема выступления на окружном методическом объединении:</w:t>
      </w:r>
    </w:p>
    <w:p w14:paraId="1EAE75C7" w14:textId="77777777" w:rsidR="006B324F" w:rsidRDefault="006B324F" w:rsidP="00785953">
      <w:pPr>
        <w:jc w:val="center"/>
        <w:rPr>
          <w:rFonts w:eastAsia="Times New Roman" w:cs="Times New Roman"/>
          <w:b/>
          <w:bCs/>
          <w:color w:val="689401"/>
        </w:rPr>
      </w:pPr>
    </w:p>
    <w:p w14:paraId="31DF7549" w14:textId="16859B96" w:rsidR="00785953" w:rsidRDefault="00785953" w:rsidP="00785953">
      <w:pPr>
        <w:jc w:val="center"/>
        <w:rPr>
          <w:rFonts w:eastAsia="Times New Roman" w:cs="Times New Roman"/>
          <w:b/>
          <w:bCs/>
          <w:color w:val="689401"/>
        </w:rPr>
      </w:pPr>
      <w:r>
        <w:rPr>
          <w:rFonts w:eastAsia="Times New Roman" w:cs="Times New Roman"/>
          <w:b/>
          <w:bCs/>
          <w:color w:val="689401"/>
        </w:rPr>
        <w:t>«</w:t>
      </w:r>
      <w:r w:rsidR="00042E15" w:rsidRPr="00042E15">
        <w:rPr>
          <w:rFonts w:eastAsia="Times New Roman" w:cs="Times New Roman"/>
          <w:b/>
          <w:bCs/>
          <w:color w:val="689401"/>
        </w:rPr>
        <w:t>Дидактические упражнения и игры на занятиях по изобразительной деятельности</w:t>
      </w:r>
      <w:r>
        <w:rPr>
          <w:rFonts w:eastAsia="Times New Roman" w:cs="Times New Roman"/>
          <w:b/>
          <w:bCs/>
          <w:color w:val="689401"/>
        </w:rPr>
        <w:t xml:space="preserve">».   </w:t>
      </w:r>
    </w:p>
    <w:p w14:paraId="79F15BC1" w14:textId="77777777" w:rsidR="00042E15" w:rsidRPr="00042E15" w:rsidRDefault="00042E15" w:rsidP="00042E15">
      <w:pPr>
        <w:spacing w:before="100" w:beforeAutospacing="1" w:after="100" w:afterAutospacing="1"/>
        <w:rPr>
          <w:rFonts w:ascii="Times" w:hAnsi="Times" w:cs="Times New Roman"/>
          <w:color w:val="000000"/>
        </w:rPr>
      </w:pPr>
      <w:r w:rsidRPr="00042E15">
        <w:rPr>
          <w:rFonts w:ascii="Times" w:hAnsi="Times" w:cs="Times New Roman"/>
          <w:color w:val="000000"/>
        </w:rPr>
        <w:t>Уважаемые коллеги!  </w:t>
      </w:r>
    </w:p>
    <w:p w14:paraId="3B5A044F" w14:textId="77777777" w:rsidR="00042E15" w:rsidRPr="00785953" w:rsidRDefault="00042E15" w:rsidP="00785953">
      <w:pPr>
        <w:spacing w:before="100" w:beforeAutospacing="1" w:after="100" w:afterAutospacing="1"/>
        <w:jc w:val="both"/>
        <w:rPr>
          <w:rFonts w:cs="Times New Roman"/>
          <w:color w:val="000000"/>
        </w:rPr>
      </w:pPr>
      <w:r w:rsidRPr="00042E15">
        <w:rPr>
          <w:rFonts w:ascii="Times" w:hAnsi="Times" w:cs="Times New Roman"/>
          <w:color w:val="000000"/>
        </w:rPr>
        <w:t xml:space="preserve">         </w:t>
      </w:r>
      <w:r w:rsidRPr="00785953">
        <w:rPr>
          <w:rFonts w:cs="Times New Roman"/>
          <w:color w:val="000000"/>
        </w:rPr>
        <w:t>Игра часто используется нами в педагогическом процессе детского сада, начальной школы и учреждений дополнительного образования детей как прием обучения, и  как средства активизации познавательной деятельности детей. От связи с играми изобразительная деятельность становится более интересной, привлекательной для ребенка, вызывает яркий  эмоциональный отклик. Взаимосвязь  изобразительной деятельности с игрой создает у детей личностно значимый для каждого ребенка мотив деятельности, а это в свою очередь обеспечивает его эффективность. И результат деятельности получается более высоким, так как ребенок не просто рисует и лепит, а передает в изображениях образы игры, что способствует развитию его творчества.</w:t>
      </w:r>
    </w:p>
    <w:p w14:paraId="076414A8"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         Включение игры в процесс  обучения изобразительному искусству относится к наглядно- действенным приемам обучения. Она представляет собой сочетание слова педагога, активных действий детей с наглядными пособиями и специальным игровым оборудованием.  Научно обоснованная игра используется для формирования и развития чувства  понимания прекрасного, изобразительных навыков и умений. Соединение игры с художественным творчеством создает у ребенка определенную установку на более яркое восприятие и передачу окружающей действительности. </w:t>
      </w:r>
    </w:p>
    <w:p w14:paraId="25792F39"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         Важнейшим условием игры,  снимающим принудительный характер обучения,  является активное действие детей. Без этого решающего условия не реализуется учебные и игровые задачи. </w:t>
      </w:r>
    </w:p>
    <w:p w14:paraId="35156E68"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         Используя игру на занятии по изобразительному искусству, педагог должен иметь определенную педагогическую цель, которая определяет дидактические задачи игры, ее обучающий характер. Особенно рациональными представляются игровые действия для развития понимания  конструктивных особенностей формы,  формирования чувства пространства, пропорций, развития зрительной памяти, наблюдательности, глазомера.</w:t>
      </w:r>
    </w:p>
    <w:p w14:paraId="12395750"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lastRenderedPageBreak/>
        <w:t>        Дидактические задачи в отличии от  обычных занятий решаются здесь через игровые моменты, через осуществление игровых действий, которые происходят согласно определенным правилам, договоренности. Они содержат нравственные требования к взаимоотношениям детей, к выполнению ими определенных норм поведения и определенных ролей. Успех игры, трудности, с которыми пришлось столкнуться, обнаруживаются в ее финале, в момент подведения итогов.</w:t>
      </w:r>
    </w:p>
    <w:p w14:paraId="3CD74F23"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 xml:space="preserve">Только при наличии перечисленных условий игра может выполнять функции обучения и давать ощутимые результаты по приобщению детей к миру прекрасного, обучению основам изобразительного искусства. </w:t>
      </w:r>
    </w:p>
    <w:p w14:paraId="2B03B899"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Хорошая игра нуждается в несложном игровом оборудовании,  которое дети могут сделать сами под руководством педагога или родителей.  </w:t>
      </w:r>
    </w:p>
    <w:p w14:paraId="48CD98FA"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Собранные здесь игры появились в процессе поисков,  соединения разных элементов уже  известных игровых занятий и  созданных новых.  </w:t>
      </w:r>
    </w:p>
    <w:p w14:paraId="12728F08"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По целям обучения они могут быть объединены  в отдельные группы.  </w:t>
      </w:r>
    </w:p>
    <w:p w14:paraId="4FE5E213"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1.    Игры, способствующие развитию графических навыков, пониманию конструктивных особенностей формы. Например: «Новые фигуры», «Собери фигуру по картинке», «Формы», «На что это похоже». </w:t>
      </w:r>
    </w:p>
    <w:p w14:paraId="411EC746"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2.    Игры, способствующие реализации  живописных и колористических задач обучения. Например: «Радуга», «Теплый – холодный», «Рыбки», «На лугу расцвели красивые цветы» и др. </w:t>
      </w:r>
    </w:p>
    <w:p w14:paraId="54CF9023"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3.    Игры, закрепляющие знания о свойствах предмета: их цвете, форме, строении, величине. Например: «Парные картинки», разнообразные лото и домино. </w:t>
      </w:r>
    </w:p>
    <w:p w14:paraId="39D96209"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4.    Игры, способствующие развитию представлений и чувств: симметрии- «Узнай предмет», «Бабочки»; цвета – «Каждый предмет на свое место», «Каких цветов не хватает», «Найди квадрат такого же цвета, но другого оттенка»; ритма – «Докончи узор на коврике», «Продолжи орнамент» и др. </w:t>
      </w:r>
    </w:p>
    <w:p w14:paraId="6392CC82"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Имея общую цель – развития творческих способностей детей, приведенные в сборнике дидактические игры  объединяются в 3 раздела: </w:t>
      </w:r>
    </w:p>
    <w:p w14:paraId="11BC7DE2"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1.    дидактические игры и упражнения направленные на развитие изобразительной деятельности; </w:t>
      </w:r>
    </w:p>
    <w:p w14:paraId="0735F4BD"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2.    дидактические игры и упражнения по лепке. </w:t>
      </w:r>
    </w:p>
    <w:p w14:paraId="3BFA9B87"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3.    дидактические игры и упражнения на материале природы. </w:t>
      </w:r>
    </w:p>
    <w:p w14:paraId="182D4B9C"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lastRenderedPageBreak/>
        <w:t xml:space="preserve">В дидактических играх легко интегрируются разнообразные содержания, и игра может быть включена в любое занятие, позволяя повысить интерес обучающихся к нему,  активизировать их деятельность.  Так, в процессе создания игры и в течение самой игры  можно широко использовать художественное слово: загадки, </w:t>
      </w:r>
      <w:proofErr w:type="spellStart"/>
      <w:r w:rsidRPr="00785953">
        <w:rPr>
          <w:rFonts w:cs="Times New Roman"/>
          <w:color w:val="000000"/>
        </w:rPr>
        <w:t>потешки</w:t>
      </w:r>
      <w:proofErr w:type="spellEnd"/>
      <w:r w:rsidRPr="00785953">
        <w:rPr>
          <w:rFonts w:cs="Times New Roman"/>
          <w:color w:val="000000"/>
        </w:rPr>
        <w:t>, стихотворения. Это помогает детям эмоционально воспринять и осознать образы, включенные в игру, понять их эстетический характер, способствующий развитию образного мышления, воображения (см. описание игр).  </w:t>
      </w:r>
    </w:p>
    <w:p w14:paraId="1CBA50AD" w14:textId="2F7E1D5F" w:rsidR="00042E15" w:rsidRPr="00785953" w:rsidRDefault="00042E15" w:rsidP="00785953">
      <w:pPr>
        <w:spacing w:before="100" w:beforeAutospacing="1" w:after="100" w:afterAutospacing="1"/>
        <w:jc w:val="both"/>
        <w:rPr>
          <w:rFonts w:cs="Times New Roman"/>
          <w:color w:val="000000"/>
        </w:rPr>
      </w:pPr>
      <w:r w:rsidRPr="00785953">
        <w:rPr>
          <w:rFonts w:cs="Times New Roman"/>
          <w:b/>
          <w:bCs/>
          <w:color w:val="000000"/>
        </w:rPr>
        <w:t>Каждый предмет на свое мест</w:t>
      </w:r>
      <w:r w:rsidR="00785953" w:rsidRPr="00785953">
        <w:rPr>
          <w:rFonts w:cs="Times New Roman"/>
          <w:b/>
          <w:bCs/>
          <w:color w:val="000000"/>
        </w:rPr>
        <w:t>о</w:t>
      </w:r>
      <w:r w:rsidRPr="00785953">
        <w:rPr>
          <w:rFonts w:cs="Times New Roman"/>
          <w:b/>
          <w:bCs/>
          <w:color w:val="000000"/>
        </w:rPr>
        <w:t> </w:t>
      </w:r>
      <w:r w:rsidRPr="00785953">
        <w:rPr>
          <w:rFonts w:cs="Times New Roman"/>
          <w:color w:val="000000"/>
        </w:rPr>
        <w:t xml:space="preserve">  </w:t>
      </w:r>
    </w:p>
    <w:p w14:paraId="32B5CEBF"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b/>
          <w:bCs/>
          <w:color w:val="000000"/>
        </w:rPr>
        <w:t xml:space="preserve">    Наша задача:  </w:t>
      </w:r>
    </w:p>
    <w:p w14:paraId="03C93D52"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Дать детям представление о близких цветах. Упражнять в различении близких цветов: красного и розового, красного и оранжевого, синего и голубого, голубого и серого, и др. Парные двухцветные карточки </w:t>
      </w:r>
    </w:p>
    <w:p w14:paraId="5A4234A6"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b/>
          <w:bCs/>
          <w:color w:val="000000"/>
        </w:rPr>
        <w:t>Материал:</w:t>
      </w:r>
      <w:r w:rsidRPr="00785953">
        <w:rPr>
          <w:rFonts w:cs="Times New Roman"/>
          <w:color w:val="000000"/>
        </w:rPr>
        <w:t>   Парные двухцветные карточки, верхняя половина карточки одного цвета, например синяя, а нижняя окрашена в близкий цвет – голубой. У другой карточки цвета в верхней и нижней половине  расположены наоборот. На двух карточках наклеены белые силуэты одинаковых предметов: грибов, бабочек, ваз и др.; двухцветные фигуры, окрашенные в два близких цвета для каждой пары карточек, например у одного грибка желтая шляпка и оранжевая ножка, у другого  наоборот.   </w:t>
      </w:r>
    </w:p>
    <w:p w14:paraId="38EAB78C"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b/>
          <w:bCs/>
          <w:color w:val="000000"/>
        </w:rPr>
        <w:t>Варианты игры:</w:t>
      </w:r>
      <w:r w:rsidRPr="00785953">
        <w:rPr>
          <w:rFonts w:cs="Times New Roman"/>
          <w:color w:val="000000"/>
        </w:rPr>
        <w:t> </w:t>
      </w:r>
    </w:p>
    <w:p w14:paraId="1F903746"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v    Каждый играющий  получает одинаковое количество предметов, окрашенных в два близких цвета. Педагог помещает на середину стола  несколько карточек и предлагает положить на них такие предметы, которые бы слились с их фоном, т.е. с цветом нижней и верхней части. После выполнения задания выкладываются другие карточки и игра продолжается.  </w:t>
      </w:r>
    </w:p>
    <w:p w14:paraId="7AA541DB"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v    Каждый играющий получает по две парные карточки. Все фигурки находятся у ведущего  и дети их не видят. Учитель загадывает: «У меня предмет, у которого верхняя часть фиолетового цвета, а нижняя – синего цвета. Что это за предмет? И  кому он нужен?» Играющие смотрят на свои карточки и по их цвету и силуэту отгадывают предмет:  «Это бабочка. У нее верхние крылышки фиолетового цвета, а нижние – синего. Она нужна мне» и т.д. </w:t>
      </w:r>
    </w:p>
    <w:p w14:paraId="30DC6F10"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 </w:t>
      </w:r>
    </w:p>
    <w:p w14:paraId="139D8013" w14:textId="77777777" w:rsidR="00042E15" w:rsidRPr="00785953" w:rsidRDefault="00042E15" w:rsidP="00785953">
      <w:pPr>
        <w:spacing w:before="100" w:beforeAutospacing="1" w:after="100" w:afterAutospacing="1"/>
        <w:jc w:val="both"/>
        <w:rPr>
          <w:rFonts w:cs="Times New Roman"/>
          <w:color w:val="000000"/>
        </w:rPr>
      </w:pPr>
      <w:r w:rsidRPr="00785953">
        <w:rPr>
          <w:rFonts w:cs="Times New Roman"/>
          <w:color w:val="000000"/>
        </w:rPr>
        <w:t> </w:t>
      </w:r>
    </w:p>
    <w:p w14:paraId="1C47026A" w14:textId="77777777" w:rsidR="00042E15" w:rsidRPr="00785953" w:rsidRDefault="00042E15" w:rsidP="00785953">
      <w:pPr>
        <w:jc w:val="both"/>
        <w:rPr>
          <w:rFonts w:cs="Times New Roman"/>
        </w:rPr>
      </w:pPr>
    </w:p>
    <w:sectPr w:rsidR="00042E15" w:rsidRPr="00785953" w:rsidSect="00084BA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E15"/>
    <w:rsid w:val="00042E15"/>
    <w:rsid w:val="00084BA3"/>
    <w:rsid w:val="006B324F"/>
    <w:rsid w:val="007859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ADE93"/>
  <w14:defaultImageDpi w14:val="300"/>
  <w15:docId w15:val="{9C73C2FE-7B73-4041-B1FA-5DC9194C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8"/>
        <w:szCs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E1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070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Светлана Степанец</cp:lastModifiedBy>
  <cp:revision>6</cp:revision>
  <cp:lastPrinted>2016-09-20T19:19:00Z</cp:lastPrinted>
  <dcterms:created xsi:type="dcterms:W3CDTF">2016-09-20T19:11:00Z</dcterms:created>
  <dcterms:modified xsi:type="dcterms:W3CDTF">2023-11-18T19:33:00Z</dcterms:modified>
</cp:coreProperties>
</file>